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465A69" w:rsidRDefault="00CD432F" w:rsidP="00CD432F">
      <w:pPr>
        <w:rPr>
          <w:sz w:val="24"/>
          <w:szCs w:val="24"/>
        </w:rPr>
      </w:pPr>
      <w:r>
        <w:rPr>
          <w:b/>
          <w:sz w:val="24"/>
          <w:szCs w:val="24"/>
        </w:rPr>
        <w:t xml:space="preserve">Settlement Name: </w:t>
      </w:r>
      <w:r w:rsidR="001B7854">
        <w:rPr>
          <w:sz w:val="24"/>
          <w:szCs w:val="24"/>
        </w:rPr>
        <w:t>Bradley</w:t>
      </w:r>
    </w:p>
    <w:p w:rsidR="00C1109B" w:rsidRDefault="00CD432F" w:rsidP="00CD432F">
      <w:pPr>
        <w:rPr>
          <w:sz w:val="24"/>
          <w:szCs w:val="24"/>
        </w:rPr>
      </w:pPr>
      <w:r>
        <w:rPr>
          <w:b/>
          <w:sz w:val="24"/>
          <w:szCs w:val="24"/>
        </w:rPr>
        <w:t xml:space="preserve">Site Number and Address: </w:t>
      </w:r>
      <w:r w:rsidR="001B7854">
        <w:rPr>
          <w:sz w:val="24"/>
          <w:szCs w:val="24"/>
        </w:rPr>
        <w:t>BR</w:t>
      </w:r>
      <w:r w:rsidR="00042FEC">
        <w:rPr>
          <w:sz w:val="24"/>
          <w:szCs w:val="24"/>
        </w:rPr>
        <w:t>016</w:t>
      </w:r>
      <w:r w:rsidR="00F85A12">
        <w:rPr>
          <w:sz w:val="24"/>
          <w:szCs w:val="24"/>
        </w:rPr>
        <w:t>;</w:t>
      </w:r>
      <w:r w:rsidRPr="00CD432F">
        <w:rPr>
          <w:sz w:val="24"/>
          <w:szCs w:val="24"/>
        </w:rPr>
        <w:t xml:space="preserve"> </w:t>
      </w:r>
      <w:r w:rsidR="00042FEC">
        <w:rPr>
          <w:sz w:val="24"/>
          <w:szCs w:val="24"/>
        </w:rPr>
        <w:t xml:space="preserve">Land to the west of Gilders and </w:t>
      </w:r>
      <w:proofErr w:type="spellStart"/>
      <w:r w:rsidR="00042FEC">
        <w:rPr>
          <w:sz w:val="24"/>
          <w:szCs w:val="24"/>
        </w:rPr>
        <w:t>Langholme</w:t>
      </w:r>
      <w:proofErr w:type="spellEnd"/>
      <w:r w:rsidR="00042FEC">
        <w:rPr>
          <w:sz w:val="24"/>
          <w:szCs w:val="24"/>
        </w:rPr>
        <w:t>, Skipton Road</w:t>
      </w:r>
      <w:r w:rsidR="00D924C4">
        <w:rPr>
          <w:sz w:val="24"/>
          <w:szCs w:val="24"/>
        </w:rPr>
        <w:t xml:space="preserve"> </w:t>
      </w:r>
    </w:p>
    <w:p w:rsidR="00F62E2A" w:rsidRPr="00F62E2A" w:rsidRDefault="00F62E2A" w:rsidP="00CD432F">
      <w:pPr>
        <w:rPr>
          <w:sz w:val="24"/>
          <w:szCs w:val="24"/>
        </w:rPr>
      </w:pPr>
    </w:p>
    <w:p w:rsidR="00D924C4" w:rsidRDefault="00CD432F">
      <w:pPr>
        <w:rPr>
          <w:b/>
          <w:sz w:val="24"/>
          <w:szCs w:val="24"/>
          <w:u w:val="single"/>
        </w:rPr>
      </w:pPr>
      <w:r w:rsidRPr="00776515">
        <w:rPr>
          <w:b/>
          <w:sz w:val="24"/>
          <w:szCs w:val="24"/>
          <w:u w:val="single"/>
        </w:rPr>
        <w:t xml:space="preserve">Stage 1: </w:t>
      </w:r>
      <w:r w:rsidR="008A6867">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042FEC" w:rsidRDefault="00042FEC">
      <w:pPr>
        <w:rPr>
          <w:b/>
          <w:sz w:val="24"/>
          <w:szCs w:val="24"/>
          <w:u w:val="single"/>
        </w:rPr>
      </w:pPr>
      <w:r w:rsidRPr="00042FEC">
        <w:rPr>
          <w:noProof/>
          <w:lang w:eastAsia="en-GB"/>
        </w:rPr>
        <w:drawing>
          <wp:inline distT="0" distB="0" distL="0" distR="0" wp14:anchorId="08CB0979" wp14:editId="70370B12">
            <wp:extent cx="8863330" cy="722952"/>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3330" cy="722952"/>
                    </a:xfrm>
                    <a:prstGeom prst="rect">
                      <a:avLst/>
                    </a:prstGeom>
                    <a:noFill/>
                    <a:ln>
                      <a:noFill/>
                    </a:ln>
                  </pic:spPr>
                </pic:pic>
              </a:graphicData>
            </a:graphic>
          </wp:inline>
        </w:drawing>
      </w:r>
    </w:p>
    <w:tbl>
      <w:tblPr>
        <w:tblW w:w="13886" w:type="dxa"/>
        <w:tblInd w:w="93" w:type="dxa"/>
        <w:tblLook w:val="04A0" w:firstRow="1" w:lastRow="0" w:firstColumn="1" w:lastColumn="0" w:noHBand="0" w:noVBand="1"/>
      </w:tblPr>
      <w:tblGrid>
        <w:gridCol w:w="1505"/>
        <w:gridCol w:w="351"/>
        <w:gridCol w:w="352"/>
        <w:gridCol w:w="353"/>
        <w:gridCol w:w="353"/>
        <w:gridCol w:w="353"/>
        <w:gridCol w:w="353"/>
        <w:gridCol w:w="352"/>
        <w:gridCol w:w="353"/>
        <w:gridCol w:w="422"/>
        <w:gridCol w:w="352"/>
        <w:gridCol w:w="352"/>
        <w:gridCol w:w="352"/>
        <w:gridCol w:w="422"/>
        <w:gridCol w:w="351"/>
        <w:gridCol w:w="353"/>
        <w:gridCol w:w="352"/>
        <w:gridCol w:w="353"/>
        <w:gridCol w:w="353"/>
        <w:gridCol w:w="353"/>
        <w:gridCol w:w="351"/>
        <w:gridCol w:w="3914"/>
        <w:gridCol w:w="1281"/>
      </w:tblGrid>
      <w:tr w:rsidR="006D64A8" w:rsidRPr="00F10ABD" w:rsidTr="006D64A8">
        <w:trPr>
          <w:trHeight w:val="1536"/>
        </w:trPr>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4A8" w:rsidRPr="006D64A8" w:rsidRDefault="006D64A8">
            <w:pPr>
              <w:rPr>
                <w:rFonts w:cstheme="minorHAnsi"/>
                <w:color w:val="000000"/>
                <w:sz w:val="16"/>
                <w:szCs w:val="20"/>
              </w:rPr>
            </w:pPr>
            <w:r w:rsidRPr="006D64A8">
              <w:rPr>
                <w:rFonts w:cstheme="minorHAnsi"/>
                <w:b/>
                <w:bCs/>
                <w:color w:val="000000"/>
                <w:sz w:val="16"/>
                <w:szCs w:val="20"/>
              </w:rPr>
              <w:t xml:space="preserve">BR016: </w:t>
            </w:r>
            <w:r w:rsidRPr="006D64A8">
              <w:rPr>
                <w:rFonts w:cstheme="minorHAnsi"/>
                <w:color w:val="000000"/>
                <w:sz w:val="16"/>
                <w:szCs w:val="20"/>
              </w:rPr>
              <w:t xml:space="preserve">Land to the west of Gilders and </w:t>
            </w:r>
            <w:proofErr w:type="spellStart"/>
            <w:r w:rsidRPr="006D64A8">
              <w:rPr>
                <w:rFonts w:cstheme="minorHAnsi"/>
                <w:color w:val="000000"/>
                <w:sz w:val="16"/>
                <w:szCs w:val="20"/>
              </w:rPr>
              <w:t>Langholme</w:t>
            </w:r>
            <w:proofErr w:type="spellEnd"/>
            <w:r w:rsidRPr="006D64A8">
              <w:rPr>
                <w:rFonts w:cstheme="minorHAnsi"/>
                <w:color w:val="000000"/>
                <w:sz w:val="16"/>
                <w:szCs w:val="20"/>
              </w:rPr>
              <w:t>, Skipton Road; 1.28ha.</w:t>
            </w:r>
          </w:p>
        </w:tc>
        <w:tc>
          <w:tcPr>
            <w:tcW w:w="351" w:type="dxa"/>
            <w:tcBorders>
              <w:top w:val="single" w:sz="4" w:space="0" w:color="auto"/>
              <w:left w:val="nil"/>
              <w:bottom w:val="single" w:sz="4" w:space="0" w:color="auto"/>
              <w:right w:val="single" w:sz="4" w:space="0" w:color="auto"/>
            </w:tcBorders>
            <w:shd w:val="clear" w:color="000000" w:fill="BFBFBF"/>
            <w:vAlign w:val="center"/>
            <w:hideMark/>
          </w:tcPr>
          <w:p w:rsidR="006D64A8" w:rsidRPr="006D64A8" w:rsidRDefault="006D64A8">
            <w:pPr>
              <w:jc w:val="center"/>
              <w:rPr>
                <w:rFonts w:cstheme="minorHAnsi"/>
                <w:color w:val="000000"/>
                <w:sz w:val="16"/>
                <w:szCs w:val="20"/>
              </w:rPr>
            </w:pPr>
            <w:r w:rsidRPr="006D64A8">
              <w:rPr>
                <w:rFonts w:cstheme="minorHAnsi"/>
                <w:color w:val="000000"/>
                <w:sz w:val="16"/>
                <w:szCs w:val="20"/>
              </w:rPr>
              <w:t>0</w:t>
            </w:r>
          </w:p>
        </w:tc>
        <w:tc>
          <w:tcPr>
            <w:tcW w:w="352" w:type="dxa"/>
            <w:tcBorders>
              <w:top w:val="single" w:sz="4" w:space="0" w:color="auto"/>
              <w:left w:val="nil"/>
              <w:bottom w:val="single" w:sz="4" w:space="0" w:color="auto"/>
              <w:right w:val="single" w:sz="4" w:space="0" w:color="auto"/>
            </w:tcBorders>
            <w:shd w:val="clear" w:color="000000" w:fill="BFBFBF"/>
            <w:vAlign w:val="center"/>
            <w:hideMark/>
          </w:tcPr>
          <w:p w:rsidR="006D64A8" w:rsidRPr="006D64A8" w:rsidRDefault="006D64A8">
            <w:pPr>
              <w:jc w:val="center"/>
              <w:rPr>
                <w:rFonts w:cstheme="minorHAnsi"/>
                <w:color w:val="000000"/>
                <w:sz w:val="16"/>
                <w:szCs w:val="20"/>
              </w:rPr>
            </w:pPr>
            <w:r w:rsidRPr="006D64A8">
              <w:rPr>
                <w:rFonts w:cstheme="minorHAnsi"/>
                <w:color w:val="000000"/>
                <w:sz w:val="16"/>
                <w:szCs w:val="20"/>
              </w:rPr>
              <w:t>0</w:t>
            </w:r>
          </w:p>
        </w:tc>
        <w:tc>
          <w:tcPr>
            <w:tcW w:w="353" w:type="dxa"/>
            <w:tcBorders>
              <w:top w:val="single" w:sz="4" w:space="0" w:color="auto"/>
              <w:left w:val="nil"/>
              <w:bottom w:val="single" w:sz="4" w:space="0" w:color="auto"/>
              <w:right w:val="single" w:sz="4" w:space="0" w:color="auto"/>
            </w:tcBorders>
            <w:shd w:val="clear" w:color="000000" w:fill="C4D79B"/>
            <w:vAlign w:val="center"/>
            <w:hideMark/>
          </w:tcPr>
          <w:p w:rsidR="006D64A8" w:rsidRPr="006D64A8" w:rsidRDefault="006D64A8">
            <w:pPr>
              <w:jc w:val="center"/>
              <w:rPr>
                <w:rFonts w:cstheme="minorHAnsi"/>
                <w:color w:val="000000"/>
                <w:sz w:val="16"/>
                <w:szCs w:val="20"/>
              </w:rPr>
            </w:pPr>
            <w:r w:rsidRPr="006D64A8">
              <w:rPr>
                <w:rFonts w:cstheme="minorHAnsi"/>
                <w:color w:val="000000"/>
                <w:sz w:val="16"/>
                <w:szCs w:val="20"/>
              </w:rPr>
              <w:t>+</w:t>
            </w:r>
          </w:p>
        </w:tc>
        <w:tc>
          <w:tcPr>
            <w:tcW w:w="353" w:type="dxa"/>
            <w:tcBorders>
              <w:top w:val="single" w:sz="4" w:space="0" w:color="auto"/>
              <w:left w:val="nil"/>
              <w:bottom w:val="single" w:sz="4" w:space="0" w:color="auto"/>
              <w:right w:val="single" w:sz="4" w:space="0" w:color="auto"/>
            </w:tcBorders>
            <w:shd w:val="clear" w:color="000000" w:fill="C4D79B"/>
            <w:vAlign w:val="center"/>
            <w:hideMark/>
          </w:tcPr>
          <w:p w:rsidR="006D64A8" w:rsidRPr="006D64A8" w:rsidRDefault="006D64A8">
            <w:pPr>
              <w:jc w:val="center"/>
              <w:rPr>
                <w:rFonts w:cstheme="minorHAnsi"/>
                <w:color w:val="000000"/>
                <w:sz w:val="16"/>
                <w:szCs w:val="20"/>
              </w:rPr>
            </w:pPr>
            <w:r w:rsidRPr="006D64A8">
              <w:rPr>
                <w:rFonts w:cstheme="minorHAnsi"/>
                <w:color w:val="000000"/>
                <w:sz w:val="16"/>
                <w:szCs w:val="20"/>
              </w:rPr>
              <w:t>+</w:t>
            </w:r>
          </w:p>
        </w:tc>
        <w:tc>
          <w:tcPr>
            <w:tcW w:w="353" w:type="dxa"/>
            <w:tcBorders>
              <w:top w:val="single" w:sz="4" w:space="0" w:color="auto"/>
              <w:left w:val="nil"/>
              <w:bottom w:val="single" w:sz="4" w:space="0" w:color="auto"/>
              <w:right w:val="single" w:sz="4" w:space="0" w:color="auto"/>
            </w:tcBorders>
            <w:shd w:val="clear" w:color="000000" w:fill="C4D79B"/>
            <w:vAlign w:val="center"/>
            <w:hideMark/>
          </w:tcPr>
          <w:p w:rsidR="006D64A8" w:rsidRPr="006D64A8" w:rsidRDefault="006D64A8">
            <w:pPr>
              <w:jc w:val="center"/>
              <w:rPr>
                <w:rFonts w:cstheme="minorHAnsi"/>
                <w:color w:val="000000"/>
                <w:sz w:val="16"/>
                <w:szCs w:val="20"/>
              </w:rPr>
            </w:pPr>
            <w:r w:rsidRPr="006D64A8">
              <w:rPr>
                <w:rFonts w:cstheme="minorHAnsi"/>
                <w:color w:val="000000"/>
                <w:sz w:val="16"/>
                <w:szCs w:val="20"/>
              </w:rPr>
              <w:t>+</w:t>
            </w:r>
          </w:p>
        </w:tc>
        <w:tc>
          <w:tcPr>
            <w:tcW w:w="353" w:type="dxa"/>
            <w:tcBorders>
              <w:top w:val="single" w:sz="4" w:space="0" w:color="auto"/>
              <w:left w:val="nil"/>
              <w:bottom w:val="single" w:sz="4" w:space="0" w:color="auto"/>
              <w:right w:val="single" w:sz="4" w:space="0" w:color="auto"/>
            </w:tcBorders>
            <w:shd w:val="clear" w:color="000000" w:fill="C4D79B"/>
            <w:vAlign w:val="center"/>
            <w:hideMark/>
          </w:tcPr>
          <w:p w:rsidR="006D64A8" w:rsidRPr="006D64A8" w:rsidRDefault="006D64A8">
            <w:pPr>
              <w:jc w:val="center"/>
              <w:rPr>
                <w:rFonts w:cstheme="minorHAnsi"/>
                <w:color w:val="000000"/>
                <w:sz w:val="16"/>
                <w:szCs w:val="20"/>
              </w:rPr>
            </w:pPr>
            <w:r w:rsidRPr="006D64A8">
              <w:rPr>
                <w:rFonts w:cstheme="minorHAnsi"/>
                <w:color w:val="000000"/>
                <w:sz w:val="16"/>
                <w:szCs w:val="20"/>
              </w:rPr>
              <w:t>+</w:t>
            </w:r>
          </w:p>
        </w:tc>
        <w:tc>
          <w:tcPr>
            <w:tcW w:w="352" w:type="dxa"/>
            <w:tcBorders>
              <w:top w:val="single" w:sz="4" w:space="0" w:color="auto"/>
              <w:left w:val="nil"/>
              <w:bottom w:val="single" w:sz="4" w:space="0" w:color="auto"/>
              <w:right w:val="single" w:sz="4" w:space="0" w:color="auto"/>
            </w:tcBorders>
            <w:shd w:val="clear" w:color="000000" w:fill="BFBFBF"/>
            <w:vAlign w:val="center"/>
            <w:hideMark/>
          </w:tcPr>
          <w:p w:rsidR="006D64A8" w:rsidRPr="006D64A8" w:rsidRDefault="006D64A8">
            <w:pPr>
              <w:jc w:val="center"/>
              <w:rPr>
                <w:rFonts w:cstheme="minorHAnsi"/>
                <w:color w:val="000000"/>
                <w:sz w:val="16"/>
                <w:szCs w:val="20"/>
              </w:rPr>
            </w:pPr>
            <w:r w:rsidRPr="006D64A8">
              <w:rPr>
                <w:rFonts w:cstheme="minorHAnsi"/>
                <w:color w:val="000000"/>
                <w:sz w:val="16"/>
                <w:szCs w:val="20"/>
              </w:rPr>
              <w:t>0</w:t>
            </w:r>
          </w:p>
        </w:tc>
        <w:tc>
          <w:tcPr>
            <w:tcW w:w="353" w:type="dxa"/>
            <w:tcBorders>
              <w:top w:val="single" w:sz="4" w:space="0" w:color="auto"/>
              <w:left w:val="nil"/>
              <w:bottom w:val="single" w:sz="4" w:space="0" w:color="auto"/>
              <w:right w:val="single" w:sz="4" w:space="0" w:color="auto"/>
            </w:tcBorders>
            <w:shd w:val="clear" w:color="000000" w:fill="C4D79B"/>
            <w:vAlign w:val="center"/>
            <w:hideMark/>
          </w:tcPr>
          <w:p w:rsidR="006D64A8" w:rsidRPr="006D64A8" w:rsidRDefault="006D64A8">
            <w:pPr>
              <w:jc w:val="center"/>
              <w:rPr>
                <w:rFonts w:cstheme="minorHAnsi"/>
                <w:color w:val="000000"/>
                <w:sz w:val="16"/>
                <w:szCs w:val="20"/>
              </w:rPr>
            </w:pPr>
            <w:r w:rsidRPr="006D64A8">
              <w:rPr>
                <w:rFonts w:cstheme="minorHAnsi"/>
                <w:color w:val="000000"/>
                <w:sz w:val="16"/>
                <w:szCs w:val="20"/>
              </w:rPr>
              <w:t>+</w:t>
            </w:r>
          </w:p>
        </w:tc>
        <w:tc>
          <w:tcPr>
            <w:tcW w:w="422" w:type="dxa"/>
            <w:tcBorders>
              <w:top w:val="single" w:sz="4" w:space="0" w:color="auto"/>
              <w:left w:val="nil"/>
              <w:bottom w:val="single" w:sz="4" w:space="0" w:color="auto"/>
              <w:right w:val="single" w:sz="4" w:space="0" w:color="auto"/>
            </w:tcBorders>
            <w:shd w:val="clear" w:color="000000" w:fill="76933C"/>
            <w:vAlign w:val="center"/>
            <w:hideMark/>
          </w:tcPr>
          <w:p w:rsidR="006D64A8" w:rsidRPr="006D64A8" w:rsidRDefault="006D64A8">
            <w:pPr>
              <w:jc w:val="center"/>
              <w:rPr>
                <w:rFonts w:cstheme="minorHAnsi"/>
                <w:color w:val="000000"/>
                <w:sz w:val="16"/>
                <w:szCs w:val="20"/>
              </w:rPr>
            </w:pPr>
            <w:r w:rsidRPr="006D64A8">
              <w:rPr>
                <w:rFonts w:cstheme="minorHAnsi"/>
                <w:color w:val="000000"/>
                <w:sz w:val="16"/>
                <w:szCs w:val="20"/>
              </w:rPr>
              <w:t>++</w:t>
            </w:r>
          </w:p>
        </w:tc>
        <w:tc>
          <w:tcPr>
            <w:tcW w:w="352" w:type="dxa"/>
            <w:tcBorders>
              <w:top w:val="single" w:sz="4" w:space="0" w:color="auto"/>
              <w:left w:val="nil"/>
              <w:bottom w:val="single" w:sz="4" w:space="0" w:color="auto"/>
              <w:right w:val="single" w:sz="4" w:space="0" w:color="auto"/>
            </w:tcBorders>
            <w:shd w:val="clear" w:color="000000" w:fill="BFBFBF"/>
            <w:vAlign w:val="center"/>
            <w:hideMark/>
          </w:tcPr>
          <w:p w:rsidR="006D64A8" w:rsidRPr="006D64A8" w:rsidRDefault="006D64A8">
            <w:pPr>
              <w:jc w:val="center"/>
              <w:rPr>
                <w:rFonts w:cstheme="minorHAnsi"/>
                <w:color w:val="000000"/>
                <w:sz w:val="16"/>
                <w:szCs w:val="20"/>
              </w:rPr>
            </w:pPr>
            <w:r w:rsidRPr="006D64A8">
              <w:rPr>
                <w:rFonts w:cstheme="minorHAnsi"/>
                <w:color w:val="000000"/>
                <w:sz w:val="16"/>
                <w:szCs w:val="20"/>
              </w:rPr>
              <w:t>0</w:t>
            </w:r>
          </w:p>
        </w:tc>
        <w:tc>
          <w:tcPr>
            <w:tcW w:w="352" w:type="dxa"/>
            <w:tcBorders>
              <w:top w:val="single" w:sz="4" w:space="0" w:color="auto"/>
              <w:left w:val="nil"/>
              <w:bottom w:val="single" w:sz="4" w:space="0" w:color="auto"/>
              <w:right w:val="single" w:sz="4" w:space="0" w:color="auto"/>
            </w:tcBorders>
            <w:shd w:val="clear" w:color="000000" w:fill="BFBFBF"/>
            <w:vAlign w:val="center"/>
            <w:hideMark/>
          </w:tcPr>
          <w:p w:rsidR="006D64A8" w:rsidRPr="006D64A8" w:rsidRDefault="006D64A8">
            <w:pPr>
              <w:jc w:val="center"/>
              <w:rPr>
                <w:rFonts w:cstheme="minorHAnsi"/>
                <w:color w:val="000000"/>
                <w:sz w:val="16"/>
                <w:szCs w:val="20"/>
              </w:rPr>
            </w:pPr>
            <w:r w:rsidRPr="006D64A8">
              <w:rPr>
                <w:rFonts w:cstheme="minorHAnsi"/>
                <w:color w:val="000000"/>
                <w:sz w:val="16"/>
                <w:szCs w:val="20"/>
              </w:rPr>
              <w:t>0</w:t>
            </w:r>
          </w:p>
        </w:tc>
        <w:tc>
          <w:tcPr>
            <w:tcW w:w="352" w:type="dxa"/>
            <w:tcBorders>
              <w:top w:val="single" w:sz="4" w:space="0" w:color="auto"/>
              <w:left w:val="nil"/>
              <w:bottom w:val="single" w:sz="4" w:space="0" w:color="auto"/>
              <w:right w:val="single" w:sz="4" w:space="0" w:color="auto"/>
            </w:tcBorders>
            <w:shd w:val="clear" w:color="000000" w:fill="BFBFBF"/>
            <w:vAlign w:val="center"/>
            <w:hideMark/>
          </w:tcPr>
          <w:p w:rsidR="006D64A8" w:rsidRPr="006D64A8" w:rsidRDefault="006D64A8">
            <w:pPr>
              <w:jc w:val="center"/>
              <w:rPr>
                <w:rFonts w:cstheme="minorHAnsi"/>
                <w:color w:val="000000"/>
                <w:sz w:val="16"/>
                <w:szCs w:val="20"/>
              </w:rPr>
            </w:pPr>
            <w:r w:rsidRPr="006D64A8">
              <w:rPr>
                <w:rFonts w:cstheme="minorHAnsi"/>
                <w:color w:val="000000"/>
                <w:sz w:val="16"/>
                <w:szCs w:val="20"/>
              </w:rPr>
              <w:t>0</w:t>
            </w:r>
          </w:p>
        </w:tc>
        <w:tc>
          <w:tcPr>
            <w:tcW w:w="422"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rsidR="006D64A8" w:rsidRPr="006D64A8" w:rsidRDefault="006D64A8">
            <w:pPr>
              <w:jc w:val="center"/>
              <w:rPr>
                <w:rFonts w:cstheme="minorHAnsi"/>
                <w:color w:val="000000"/>
                <w:sz w:val="16"/>
                <w:szCs w:val="20"/>
              </w:rPr>
            </w:pPr>
            <w:r w:rsidRPr="006D64A8">
              <w:rPr>
                <w:rFonts w:cstheme="minorHAnsi"/>
                <w:color w:val="000000"/>
                <w:sz w:val="16"/>
                <w:szCs w:val="20"/>
              </w:rPr>
              <w:t>+</w:t>
            </w:r>
          </w:p>
        </w:tc>
        <w:tc>
          <w:tcPr>
            <w:tcW w:w="351" w:type="dxa"/>
            <w:tcBorders>
              <w:top w:val="single" w:sz="4" w:space="0" w:color="auto"/>
              <w:left w:val="nil"/>
              <w:bottom w:val="single" w:sz="4" w:space="0" w:color="auto"/>
              <w:right w:val="single" w:sz="4" w:space="0" w:color="auto"/>
            </w:tcBorders>
            <w:shd w:val="clear" w:color="000000" w:fill="DA9694"/>
            <w:vAlign w:val="center"/>
            <w:hideMark/>
          </w:tcPr>
          <w:p w:rsidR="006D64A8" w:rsidRPr="006D64A8" w:rsidRDefault="006D64A8">
            <w:pPr>
              <w:jc w:val="center"/>
              <w:rPr>
                <w:rFonts w:cstheme="minorHAnsi"/>
                <w:color w:val="000000"/>
                <w:sz w:val="16"/>
                <w:szCs w:val="20"/>
              </w:rPr>
            </w:pPr>
            <w:r w:rsidRPr="006D64A8">
              <w:rPr>
                <w:rFonts w:cstheme="minorHAnsi"/>
                <w:color w:val="000000"/>
                <w:sz w:val="16"/>
                <w:szCs w:val="20"/>
              </w:rPr>
              <w:t>-</w:t>
            </w:r>
          </w:p>
        </w:tc>
        <w:tc>
          <w:tcPr>
            <w:tcW w:w="353" w:type="dxa"/>
            <w:tcBorders>
              <w:top w:val="single" w:sz="4" w:space="0" w:color="auto"/>
              <w:left w:val="nil"/>
              <w:bottom w:val="single" w:sz="4" w:space="0" w:color="auto"/>
              <w:right w:val="single" w:sz="4" w:space="0" w:color="auto"/>
            </w:tcBorders>
            <w:shd w:val="clear" w:color="000000" w:fill="C4D79B"/>
            <w:vAlign w:val="center"/>
            <w:hideMark/>
          </w:tcPr>
          <w:p w:rsidR="006D64A8" w:rsidRPr="006D64A8" w:rsidRDefault="006D64A8">
            <w:pPr>
              <w:jc w:val="center"/>
              <w:rPr>
                <w:rFonts w:cstheme="minorHAnsi"/>
                <w:color w:val="000000"/>
                <w:sz w:val="16"/>
                <w:szCs w:val="20"/>
              </w:rPr>
            </w:pPr>
            <w:r w:rsidRPr="006D64A8">
              <w:rPr>
                <w:rFonts w:cstheme="minorHAnsi"/>
                <w:color w:val="000000"/>
                <w:sz w:val="16"/>
                <w:szCs w:val="20"/>
              </w:rPr>
              <w:t>+</w:t>
            </w:r>
          </w:p>
        </w:tc>
        <w:tc>
          <w:tcPr>
            <w:tcW w:w="352" w:type="dxa"/>
            <w:tcBorders>
              <w:top w:val="single" w:sz="4" w:space="0" w:color="auto"/>
              <w:left w:val="nil"/>
              <w:bottom w:val="single" w:sz="4" w:space="0" w:color="auto"/>
              <w:right w:val="single" w:sz="4" w:space="0" w:color="auto"/>
            </w:tcBorders>
            <w:shd w:val="clear" w:color="000000" w:fill="BFBFBF"/>
            <w:vAlign w:val="center"/>
            <w:hideMark/>
          </w:tcPr>
          <w:p w:rsidR="006D64A8" w:rsidRPr="006D64A8" w:rsidRDefault="006D64A8">
            <w:pPr>
              <w:jc w:val="center"/>
              <w:rPr>
                <w:rFonts w:cstheme="minorHAnsi"/>
                <w:sz w:val="16"/>
                <w:szCs w:val="20"/>
              </w:rPr>
            </w:pPr>
            <w:r w:rsidRPr="006D64A8">
              <w:rPr>
                <w:rFonts w:cstheme="minorHAnsi"/>
                <w:sz w:val="16"/>
                <w:szCs w:val="20"/>
              </w:rPr>
              <w:t>0</w:t>
            </w:r>
          </w:p>
        </w:tc>
        <w:tc>
          <w:tcPr>
            <w:tcW w:w="353" w:type="dxa"/>
            <w:tcBorders>
              <w:top w:val="single" w:sz="4" w:space="0" w:color="auto"/>
              <w:left w:val="nil"/>
              <w:bottom w:val="single" w:sz="4" w:space="0" w:color="auto"/>
              <w:right w:val="single" w:sz="4" w:space="0" w:color="auto"/>
            </w:tcBorders>
            <w:shd w:val="clear" w:color="000000" w:fill="C4D79B"/>
            <w:vAlign w:val="center"/>
            <w:hideMark/>
          </w:tcPr>
          <w:p w:rsidR="006D64A8" w:rsidRPr="006D64A8" w:rsidRDefault="006D64A8">
            <w:pPr>
              <w:jc w:val="center"/>
              <w:rPr>
                <w:rFonts w:cstheme="minorHAnsi"/>
                <w:color w:val="000000"/>
                <w:sz w:val="16"/>
                <w:szCs w:val="20"/>
              </w:rPr>
            </w:pPr>
            <w:r w:rsidRPr="006D64A8">
              <w:rPr>
                <w:rFonts w:cstheme="minorHAnsi"/>
                <w:color w:val="000000"/>
                <w:sz w:val="16"/>
                <w:szCs w:val="20"/>
              </w:rPr>
              <w:t>+</w:t>
            </w:r>
          </w:p>
        </w:tc>
        <w:tc>
          <w:tcPr>
            <w:tcW w:w="353" w:type="dxa"/>
            <w:tcBorders>
              <w:top w:val="single" w:sz="4" w:space="0" w:color="auto"/>
              <w:left w:val="nil"/>
              <w:bottom w:val="single" w:sz="4" w:space="0" w:color="auto"/>
              <w:right w:val="single" w:sz="4" w:space="0" w:color="auto"/>
            </w:tcBorders>
            <w:shd w:val="clear" w:color="000000" w:fill="C4D79B"/>
            <w:vAlign w:val="center"/>
            <w:hideMark/>
          </w:tcPr>
          <w:p w:rsidR="006D64A8" w:rsidRPr="006D64A8" w:rsidRDefault="006D64A8">
            <w:pPr>
              <w:jc w:val="center"/>
              <w:rPr>
                <w:rFonts w:cstheme="minorHAnsi"/>
                <w:color w:val="000000"/>
                <w:sz w:val="16"/>
                <w:szCs w:val="20"/>
              </w:rPr>
            </w:pPr>
            <w:r w:rsidRPr="006D64A8">
              <w:rPr>
                <w:rFonts w:cstheme="minorHAnsi"/>
                <w:color w:val="000000"/>
                <w:sz w:val="16"/>
                <w:szCs w:val="20"/>
              </w:rPr>
              <w:t>+</w:t>
            </w:r>
          </w:p>
        </w:tc>
        <w:tc>
          <w:tcPr>
            <w:tcW w:w="353" w:type="dxa"/>
            <w:tcBorders>
              <w:top w:val="single" w:sz="4" w:space="0" w:color="auto"/>
              <w:left w:val="nil"/>
              <w:bottom w:val="single" w:sz="4" w:space="0" w:color="auto"/>
              <w:right w:val="single" w:sz="4" w:space="0" w:color="auto"/>
            </w:tcBorders>
            <w:shd w:val="clear" w:color="000000" w:fill="C4D79B"/>
            <w:vAlign w:val="center"/>
            <w:hideMark/>
          </w:tcPr>
          <w:p w:rsidR="006D64A8" w:rsidRPr="006D64A8" w:rsidRDefault="006D64A8">
            <w:pPr>
              <w:jc w:val="center"/>
              <w:rPr>
                <w:rFonts w:cstheme="minorHAnsi"/>
                <w:color w:val="000000"/>
                <w:sz w:val="16"/>
                <w:szCs w:val="20"/>
              </w:rPr>
            </w:pPr>
            <w:r w:rsidRPr="006D64A8">
              <w:rPr>
                <w:rFonts w:cstheme="minorHAnsi"/>
                <w:color w:val="000000"/>
                <w:sz w:val="16"/>
                <w:szCs w:val="20"/>
              </w:rPr>
              <w:t>+</w:t>
            </w:r>
          </w:p>
        </w:tc>
        <w:tc>
          <w:tcPr>
            <w:tcW w:w="351" w:type="dxa"/>
            <w:tcBorders>
              <w:top w:val="single" w:sz="4" w:space="0" w:color="auto"/>
              <w:left w:val="nil"/>
              <w:bottom w:val="single" w:sz="4" w:space="0" w:color="auto"/>
              <w:right w:val="single" w:sz="4" w:space="0" w:color="auto"/>
            </w:tcBorders>
            <w:shd w:val="clear" w:color="000000" w:fill="DA9694"/>
            <w:vAlign w:val="center"/>
            <w:hideMark/>
          </w:tcPr>
          <w:p w:rsidR="006D64A8" w:rsidRPr="006D64A8" w:rsidRDefault="006D64A8">
            <w:pPr>
              <w:jc w:val="center"/>
              <w:rPr>
                <w:rFonts w:cstheme="minorHAnsi"/>
                <w:color w:val="000000"/>
                <w:sz w:val="16"/>
                <w:szCs w:val="20"/>
              </w:rPr>
            </w:pPr>
            <w:r w:rsidRPr="006D64A8">
              <w:rPr>
                <w:rFonts w:cstheme="minorHAnsi"/>
                <w:color w:val="000000"/>
                <w:sz w:val="16"/>
                <w:szCs w:val="20"/>
              </w:rPr>
              <w:t>-</w:t>
            </w:r>
          </w:p>
        </w:tc>
        <w:tc>
          <w:tcPr>
            <w:tcW w:w="3914" w:type="dxa"/>
            <w:tcBorders>
              <w:top w:val="single" w:sz="4" w:space="0" w:color="auto"/>
              <w:left w:val="nil"/>
              <w:bottom w:val="single" w:sz="4" w:space="0" w:color="auto"/>
              <w:right w:val="single" w:sz="4" w:space="0" w:color="auto"/>
            </w:tcBorders>
            <w:shd w:val="clear" w:color="000000" w:fill="FFFFFF"/>
            <w:vAlign w:val="center"/>
            <w:hideMark/>
          </w:tcPr>
          <w:p w:rsidR="006D64A8" w:rsidRPr="006D64A8" w:rsidRDefault="006D64A8">
            <w:pPr>
              <w:rPr>
                <w:rFonts w:cstheme="minorHAnsi"/>
                <w:b/>
                <w:bCs/>
                <w:color w:val="000000"/>
                <w:sz w:val="16"/>
                <w:szCs w:val="20"/>
              </w:rPr>
            </w:pPr>
            <w:r w:rsidRPr="006D64A8">
              <w:rPr>
                <w:rFonts w:cstheme="minorHAnsi"/>
                <w:b/>
                <w:bCs/>
                <w:color w:val="000000"/>
                <w:sz w:val="16"/>
                <w:szCs w:val="20"/>
              </w:rPr>
              <w:t xml:space="preserve">Level 3: </w:t>
            </w:r>
            <w:r w:rsidRPr="006D64A8">
              <w:rPr>
                <w:rFonts w:cstheme="minorHAnsi"/>
                <w:color w:val="000000"/>
                <w:sz w:val="16"/>
                <w:szCs w:val="20"/>
              </w:rPr>
              <w:t>Sufficient frontage is available on site to allow for a safe access. The site is entirely within Flood Zone 1. To ensure the sustainability of the site in terms of connectivity to the village, it is recommended that the southern section of the site is de</w:t>
            </w:r>
            <w:r w:rsidRPr="006D64A8">
              <w:rPr>
                <w:rFonts w:cstheme="minorHAnsi"/>
                <w:sz w:val="16"/>
                <w:szCs w:val="20"/>
              </w:rPr>
              <w:t xml:space="preserve">veloped only. The site provides a strong contribution to the character and appearance of the area, to the south east of the site it provides some or no/negligible contribution to the character and appearance of the area. The site is located on the edge of the settlement and is greenfield land. </w:t>
            </w:r>
          </w:p>
        </w:tc>
        <w:tc>
          <w:tcPr>
            <w:tcW w:w="1281" w:type="dxa"/>
            <w:tcBorders>
              <w:top w:val="single" w:sz="4" w:space="0" w:color="auto"/>
              <w:left w:val="nil"/>
              <w:bottom w:val="single" w:sz="4" w:space="0" w:color="auto"/>
              <w:right w:val="single" w:sz="4" w:space="0" w:color="auto"/>
            </w:tcBorders>
            <w:shd w:val="clear" w:color="000000" w:fill="FFFFFF"/>
            <w:vAlign w:val="center"/>
            <w:hideMark/>
          </w:tcPr>
          <w:p w:rsidR="006D64A8" w:rsidRPr="006D64A8" w:rsidRDefault="006D64A8">
            <w:pPr>
              <w:jc w:val="center"/>
              <w:rPr>
                <w:rFonts w:cstheme="minorHAnsi"/>
                <w:color w:val="000000"/>
                <w:sz w:val="16"/>
                <w:szCs w:val="20"/>
              </w:rPr>
            </w:pPr>
            <w:r w:rsidRPr="006D64A8">
              <w:rPr>
                <w:rFonts w:cstheme="minorHAnsi"/>
                <w:color w:val="000000"/>
                <w:sz w:val="16"/>
                <w:szCs w:val="20"/>
              </w:rPr>
              <w:t>5a, 5b, 7, &amp; 9</w:t>
            </w:r>
          </w:p>
        </w:tc>
      </w:tr>
    </w:tbl>
    <w:p w:rsidR="00D924C4" w:rsidRDefault="00D924C4" w:rsidP="00D924C4">
      <w:pPr>
        <w:rPr>
          <w:sz w:val="24"/>
          <w:szCs w:val="24"/>
        </w:rPr>
      </w:pPr>
    </w:p>
    <w:p w:rsidR="00CD432F" w:rsidRDefault="00042FEC" w:rsidP="00D924C4">
      <w:r w:rsidRPr="00C1109B">
        <w:t xml:space="preserve">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t>eferred Sites list for Bradley, subject to Stage 2 analysis below, and also a possible comparison of the site’s merits with o</w:t>
      </w:r>
      <w:r w:rsidR="0053055B">
        <w:t>ther sustainable sites in Bradley</w:t>
      </w:r>
      <w:r>
        <w:t xml:space="preserve"> if a surplus of sites exists.</w:t>
      </w:r>
    </w:p>
    <w:p w:rsidR="00054C60" w:rsidRDefault="00054C60" w:rsidP="00D924C4"/>
    <w:p w:rsidR="00042FEC" w:rsidRPr="00776515" w:rsidRDefault="00042FEC" w:rsidP="00042FEC">
      <w:pPr>
        <w:rPr>
          <w:b/>
          <w:sz w:val="24"/>
          <w:szCs w:val="24"/>
          <w:u w:val="single"/>
        </w:rPr>
      </w:pPr>
      <w:r>
        <w:rPr>
          <w:b/>
          <w:sz w:val="24"/>
          <w:szCs w:val="24"/>
          <w:u w:val="single"/>
        </w:rPr>
        <w:lastRenderedPageBreak/>
        <w:t>Stage 2: District</w:t>
      </w:r>
      <w:r w:rsidRPr="00776515">
        <w:rPr>
          <w:b/>
          <w:sz w:val="24"/>
          <w:szCs w:val="24"/>
          <w:u w:val="single"/>
        </w:rPr>
        <w:t xml:space="preserve"> Level Analysis</w:t>
      </w:r>
    </w:p>
    <w:p w:rsidR="00042FEC" w:rsidRPr="00C1109B" w:rsidRDefault="00042FEC" w:rsidP="00042FEC">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042FEC" w:rsidRPr="00CD432F" w:rsidTr="001E78EF">
        <w:tc>
          <w:tcPr>
            <w:tcW w:w="13008" w:type="dxa"/>
          </w:tcPr>
          <w:p w:rsidR="00042FEC" w:rsidRPr="00CD432F" w:rsidRDefault="00042FEC" w:rsidP="001E78E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042FEC" w:rsidRPr="00B21C52" w:rsidRDefault="00042FEC" w:rsidP="001E78EF">
            <w:pPr>
              <w:jc w:val="center"/>
              <w:rPr>
                <w:b/>
              </w:rPr>
            </w:pPr>
            <w:r>
              <w:rPr>
                <w:b/>
              </w:rPr>
              <w:t>Yes</w:t>
            </w:r>
          </w:p>
        </w:tc>
      </w:tr>
      <w:tr w:rsidR="00042FEC" w:rsidRPr="00CD432F" w:rsidTr="001E78EF">
        <w:tc>
          <w:tcPr>
            <w:tcW w:w="13008" w:type="dxa"/>
          </w:tcPr>
          <w:p w:rsidR="00042FEC" w:rsidRPr="00CD432F" w:rsidRDefault="00042FEC" w:rsidP="001E78E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042FEC" w:rsidRPr="00B21C52" w:rsidRDefault="00042FEC" w:rsidP="001E78EF">
            <w:pPr>
              <w:jc w:val="center"/>
              <w:rPr>
                <w:b/>
              </w:rPr>
            </w:pPr>
          </w:p>
        </w:tc>
      </w:tr>
      <w:tr w:rsidR="00042FEC" w:rsidRPr="00CD432F" w:rsidTr="001E78EF">
        <w:tc>
          <w:tcPr>
            <w:tcW w:w="13008" w:type="dxa"/>
          </w:tcPr>
          <w:p w:rsidR="00042FEC" w:rsidRPr="00CD432F" w:rsidRDefault="00042FEC" w:rsidP="001E78E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042FEC" w:rsidRPr="00B21C52" w:rsidRDefault="00042FEC" w:rsidP="001E78EF">
            <w:pPr>
              <w:jc w:val="center"/>
              <w:rPr>
                <w:b/>
              </w:rPr>
            </w:pPr>
          </w:p>
        </w:tc>
      </w:tr>
    </w:tbl>
    <w:p w:rsidR="00042FEC" w:rsidRPr="00CD432F" w:rsidRDefault="00042FEC" w:rsidP="00042FEC"/>
    <w:p w:rsidR="00042FEC" w:rsidRPr="00C1109B" w:rsidRDefault="00042FEC" w:rsidP="00042FEC">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042FEC" w:rsidRPr="00CD432F" w:rsidTr="001E78EF">
        <w:tc>
          <w:tcPr>
            <w:tcW w:w="13008" w:type="dxa"/>
          </w:tcPr>
          <w:p w:rsidR="00042FEC" w:rsidRPr="00CD432F" w:rsidRDefault="00042FEC" w:rsidP="001E78EF">
            <w:pPr>
              <w:numPr>
                <w:ilvl w:val="0"/>
                <w:numId w:val="4"/>
              </w:numPr>
              <w:contextualSpacing/>
              <w:jc w:val="both"/>
            </w:pPr>
            <w:r w:rsidRPr="00CD432F">
              <w:t>Site is likely to have potential to harm the special qualities of the designated lan</w:t>
            </w:r>
            <w:r>
              <w:t xml:space="preserve">dscapes of the YDNP or the AONB, and any harm cannot be </w:t>
            </w:r>
            <w:proofErr w:type="gramStart"/>
            <w:r>
              <w:t>mitigated</w:t>
            </w:r>
            <w:proofErr w:type="gramEnd"/>
            <w:r>
              <w:t xml:space="preserve"> against.</w:t>
            </w:r>
          </w:p>
          <w:p w:rsidR="00042FEC" w:rsidRPr="00CD432F" w:rsidRDefault="00042FEC" w:rsidP="001E78EF"/>
        </w:tc>
        <w:tc>
          <w:tcPr>
            <w:tcW w:w="1417" w:type="dxa"/>
          </w:tcPr>
          <w:p w:rsidR="00042FEC" w:rsidRPr="00B21C52" w:rsidRDefault="00042FEC" w:rsidP="001E78EF">
            <w:pPr>
              <w:jc w:val="center"/>
              <w:rPr>
                <w:b/>
              </w:rPr>
            </w:pPr>
            <w:r>
              <w:rPr>
                <w:b/>
              </w:rPr>
              <w:t>No</w:t>
            </w:r>
          </w:p>
        </w:tc>
      </w:tr>
      <w:tr w:rsidR="00042FEC" w:rsidRPr="00CD432F" w:rsidTr="001E78EF">
        <w:tc>
          <w:tcPr>
            <w:tcW w:w="13008" w:type="dxa"/>
          </w:tcPr>
          <w:p w:rsidR="00042FEC" w:rsidRPr="00CD432F" w:rsidRDefault="00042FEC" w:rsidP="001E78E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042FEC" w:rsidRPr="00B21C52" w:rsidRDefault="00042FEC" w:rsidP="001E78EF">
            <w:pPr>
              <w:jc w:val="center"/>
              <w:rPr>
                <w:b/>
              </w:rPr>
            </w:pPr>
            <w:r>
              <w:rPr>
                <w:b/>
              </w:rPr>
              <w:t>North</w:t>
            </w:r>
          </w:p>
        </w:tc>
      </w:tr>
    </w:tbl>
    <w:p w:rsidR="00042FEC" w:rsidRPr="00CD432F" w:rsidRDefault="00042FEC" w:rsidP="00042FEC">
      <w:pPr>
        <w:ind w:left="720"/>
        <w:contextualSpacing/>
      </w:pPr>
    </w:p>
    <w:p w:rsidR="00042FEC" w:rsidRPr="00CD432F" w:rsidRDefault="00042FEC" w:rsidP="00042FEC">
      <w:pPr>
        <w:ind w:left="720"/>
        <w:contextualSpacing/>
      </w:pPr>
    </w:p>
    <w:p w:rsidR="00042FEC" w:rsidRPr="00C1109B" w:rsidRDefault="00042FEC" w:rsidP="00042FEC">
      <w:pPr>
        <w:numPr>
          <w:ilvl w:val="0"/>
          <w:numId w:val="7"/>
        </w:numPr>
        <w:ind w:left="720" w:hanging="360"/>
        <w:contextualSpacing/>
      </w:pPr>
      <w:r w:rsidRPr="00CD432F">
        <w:t>Site Proximity to Designated Natural Environment Features</w:t>
      </w:r>
    </w:p>
    <w:p w:rsidR="00042FEC" w:rsidRPr="00CD432F" w:rsidRDefault="00042FEC" w:rsidP="00042FEC">
      <w:pPr>
        <w:ind w:left="720"/>
        <w:contextualSpacing/>
        <w:rPr>
          <w:b/>
        </w:rPr>
      </w:pPr>
    </w:p>
    <w:tbl>
      <w:tblPr>
        <w:tblStyle w:val="TableGrid"/>
        <w:tblW w:w="14425" w:type="dxa"/>
        <w:tblLook w:val="04A0" w:firstRow="1" w:lastRow="0" w:firstColumn="1" w:lastColumn="0" w:noHBand="0" w:noVBand="1"/>
      </w:tblPr>
      <w:tblGrid>
        <w:gridCol w:w="13008"/>
        <w:gridCol w:w="1417"/>
      </w:tblGrid>
      <w:tr w:rsidR="00042FEC" w:rsidRPr="00CD432F" w:rsidTr="001E78EF">
        <w:tc>
          <w:tcPr>
            <w:tcW w:w="13008" w:type="dxa"/>
          </w:tcPr>
          <w:p w:rsidR="00042FEC" w:rsidRPr="00CD432F" w:rsidRDefault="00042FEC" w:rsidP="001E78EF">
            <w:pPr>
              <w:numPr>
                <w:ilvl w:val="0"/>
                <w:numId w:val="5"/>
              </w:numPr>
              <w:contextualSpacing/>
              <w:jc w:val="both"/>
            </w:pPr>
            <w:r w:rsidRPr="00CD432F">
              <w:t>Site is likely to have potential to harm the special qualities of the designated lands</w:t>
            </w:r>
            <w:r>
              <w:t xml:space="preserve">capes of the SPA, SAC or </w:t>
            </w:r>
            <w:proofErr w:type="spellStart"/>
            <w:r>
              <w:t>Ramsar</w:t>
            </w:r>
            <w:proofErr w:type="spellEnd"/>
            <w:r>
              <w:t xml:space="preserve">, and any harm cannot be </w:t>
            </w:r>
            <w:proofErr w:type="gramStart"/>
            <w:r>
              <w:t>mitigated</w:t>
            </w:r>
            <w:proofErr w:type="gramEnd"/>
            <w:r>
              <w:t xml:space="preserve"> against.</w:t>
            </w:r>
          </w:p>
          <w:p w:rsidR="00042FEC" w:rsidRPr="00CD432F" w:rsidRDefault="00042FEC" w:rsidP="001E78EF"/>
        </w:tc>
        <w:tc>
          <w:tcPr>
            <w:tcW w:w="1417" w:type="dxa"/>
          </w:tcPr>
          <w:p w:rsidR="00042FEC" w:rsidRPr="00CD432F" w:rsidRDefault="00042FEC" w:rsidP="001E78EF">
            <w:pPr>
              <w:jc w:val="center"/>
              <w:rPr>
                <w:b/>
              </w:rPr>
            </w:pPr>
            <w:r>
              <w:rPr>
                <w:b/>
              </w:rPr>
              <w:t>No</w:t>
            </w:r>
          </w:p>
        </w:tc>
      </w:tr>
      <w:tr w:rsidR="00042FEC" w:rsidRPr="00CD432F" w:rsidTr="001E78EF">
        <w:tc>
          <w:tcPr>
            <w:tcW w:w="13008" w:type="dxa"/>
          </w:tcPr>
          <w:p w:rsidR="00042FEC" w:rsidRPr="00CD432F" w:rsidRDefault="00042FEC" w:rsidP="001E78E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042FEC" w:rsidRPr="00CD432F" w:rsidRDefault="00042FEC" w:rsidP="001E78EF">
            <w:pPr>
              <w:jc w:val="center"/>
              <w:rPr>
                <w:b/>
              </w:rPr>
            </w:pPr>
            <w:r>
              <w:rPr>
                <w:b/>
              </w:rPr>
              <w:t>North</w:t>
            </w:r>
          </w:p>
        </w:tc>
      </w:tr>
    </w:tbl>
    <w:p w:rsidR="00042FEC" w:rsidRPr="00CD432F" w:rsidRDefault="00042FEC" w:rsidP="00042FEC"/>
    <w:p w:rsidR="00042FEC" w:rsidRPr="00C1109B" w:rsidRDefault="00042FEC" w:rsidP="00042FEC">
      <w:pPr>
        <w:numPr>
          <w:ilvl w:val="0"/>
          <w:numId w:val="7"/>
        </w:numPr>
        <w:ind w:left="720" w:hanging="360"/>
        <w:contextualSpacing/>
      </w:pPr>
      <w:r w:rsidRPr="00CD432F">
        <w:t xml:space="preserve">Site Position in relation to </w:t>
      </w:r>
      <w:r>
        <w:t>Health &amp; Safety Executive (</w:t>
      </w:r>
      <w:r w:rsidRPr="00CD432F">
        <w:t>HSE</w:t>
      </w:r>
      <w:r>
        <w:t>)</w:t>
      </w:r>
      <w:r w:rsidRPr="00CD432F">
        <w:t xml:space="preserve"> Zone</w:t>
      </w:r>
    </w:p>
    <w:p w:rsidR="00042FEC" w:rsidRPr="00CD432F" w:rsidRDefault="00042FEC" w:rsidP="00042FEC">
      <w:pPr>
        <w:ind w:left="720"/>
        <w:contextualSpacing/>
        <w:rPr>
          <w:b/>
        </w:rPr>
      </w:pPr>
    </w:p>
    <w:tbl>
      <w:tblPr>
        <w:tblStyle w:val="TableGrid"/>
        <w:tblW w:w="14425" w:type="dxa"/>
        <w:tblLook w:val="04A0" w:firstRow="1" w:lastRow="0" w:firstColumn="1" w:lastColumn="0" w:noHBand="0" w:noVBand="1"/>
      </w:tblPr>
      <w:tblGrid>
        <w:gridCol w:w="13008"/>
        <w:gridCol w:w="1417"/>
      </w:tblGrid>
      <w:tr w:rsidR="00042FEC" w:rsidRPr="00CD432F" w:rsidTr="001E78EF">
        <w:tc>
          <w:tcPr>
            <w:tcW w:w="13008" w:type="dxa"/>
          </w:tcPr>
          <w:p w:rsidR="00042FEC" w:rsidRPr="00CD432F" w:rsidRDefault="00042FEC" w:rsidP="001E78EF">
            <w:pPr>
              <w:numPr>
                <w:ilvl w:val="0"/>
                <w:numId w:val="2"/>
              </w:numPr>
              <w:contextualSpacing/>
            </w:pPr>
            <w:r w:rsidRPr="00CD432F">
              <w:lastRenderedPageBreak/>
              <w:t>The site lies in the outer H</w:t>
            </w:r>
            <w:r>
              <w:t xml:space="preserve">ealth &amp; </w:t>
            </w:r>
            <w:r w:rsidRPr="00CD432F">
              <w:t>S</w:t>
            </w:r>
            <w:r>
              <w:t xml:space="preserve">afety </w:t>
            </w:r>
            <w:r w:rsidRPr="00CD432F">
              <w:t>E</w:t>
            </w:r>
            <w:r>
              <w:t>xecutive</w:t>
            </w:r>
            <w:r w:rsidRPr="00CD432F">
              <w:t xml:space="preserve"> zone, or not in an HSE zone.</w:t>
            </w:r>
          </w:p>
        </w:tc>
        <w:tc>
          <w:tcPr>
            <w:tcW w:w="1417" w:type="dxa"/>
          </w:tcPr>
          <w:p w:rsidR="00042FEC" w:rsidRPr="00CD432F" w:rsidRDefault="00042FEC" w:rsidP="001E78EF">
            <w:pPr>
              <w:jc w:val="center"/>
              <w:rPr>
                <w:b/>
              </w:rPr>
            </w:pPr>
            <w:r>
              <w:rPr>
                <w:b/>
              </w:rPr>
              <w:t>Yes</w:t>
            </w:r>
          </w:p>
        </w:tc>
      </w:tr>
      <w:tr w:rsidR="00042FEC" w:rsidRPr="00CD432F" w:rsidTr="001E78EF">
        <w:tc>
          <w:tcPr>
            <w:tcW w:w="13008" w:type="dxa"/>
          </w:tcPr>
          <w:p w:rsidR="00042FEC" w:rsidRPr="00CD432F" w:rsidRDefault="00042FEC" w:rsidP="001E78EF">
            <w:pPr>
              <w:numPr>
                <w:ilvl w:val="0"/>
                <w:numId w:val="2"/>
              </w:numPr>
              <w:contextualSpacing/>
            </w:pPr>
            <w:r>
              <w:t>The site lies in the Health &amp; Safety Executive</w:t>
            </w:r>
            <w:r w:rsidRPr="00CD432F">
              <w:t xml:space="preserve"> middle zone.</w:t>
            </w:r>
          </w:p>
        </w:tc>
        <w:tc>
          <w:tcPr>
            <w:tcW w:w="1417" w:type="dxa"/>
          </w:tcPr>
          <w:p w:rsidR="00042FEC" w:rsidRPr="00CD432F" w:rsidRDefault="00042FEC" w:rsidP="001E78EF">
            <w:pPr>
              <w:jc w:val="center"/>
            </w:pPr>
          </w:p>
        </w:tc>
      </w:tr>
      <w:tr w:rsidR="00042FEC" w:rsidRPr="00CD432F" w:rsidTr="001E78EF">
        <w:tc>
          <w:tcPr>
            <w:tcW w:w="13008" w:type="dxa"/>
          </w:tcPr>
          <w:p w:rsidR="00042FEC" w:rsidRPr="00CD432F" w:rsidRDefault="00042FEC" w:rsidP="001E78EF">
            <w:pPr>
              <w:numPr>
                <w:ilvl w:val="0"/>
                <w:numId w:val="2"/>
              </w:numPr>
              <w:contextualSpacing/>
            </w:pPr>
            <w:r w:rsidRPr="00CD432F">
              <w:t>The site lies in the H</w:t>
            </w:r>
            <w:r>
              <w:t>ealth &amp; Safety Executive</w:t>
            </w:r>
            <w:r w:rsidRPr="00CD432F">
              <w:t xml:space="preserve"> inner zone.</w:t>
            </w:r>
          </w:p>
        </w:tc>
        <w:tc>
          <w:tcPr>
            <w:tcW w:w="1417" w:type="dxa"/>
          </w:tcPr>
          <w:p w:rsidR="00042FEC" w:rsidRPr="00CD432F" w:rsidRDefault="00042FEC" w:rsidP="001E78EF">
            <w:pPr>
              <w:jc w:val="center"/>
            </w:pPr>
          </w:p>
        </w:tc>
      </w:tr>
    </w:tbl>
    <w:p w:rsidR="00042FEC" w:rsidRDefault="00042FEC" w:rsidP="00042FEC"/>
    <w:p w:rsidR="00042FEC" w:rsidRDefault="00042FEC" w:rsidP="00042FEC">
      <w:pPr>
        <w:jc w:val="both"/>
      </w:pPr>
      <w:r w:rsidRPr="00F62E2A">
        <w:rPr>
          <w:b/>
          <w:i/>
        </w:rPr>
        <w:t>Result:</w:t>
      </w:r>
      <w:r w:rsidRPr="00C1109B">
        <w:rPr>
          <w:b/>
        </w:rPr>
        <w:t xml:space="preserve"> </w:t>
      </w:r>
      <w:r w:rsidRPr="00F62E2A">
        <w:t>The</w:t>
      </w:r>
      <w:r>
        <w:t xml:space="preserve"> site passes all four District Level Analyses. After a comparison with other Pool of Site options in Bradley, the site is considered suitable as one of the </w:t>
      </w:r>
      <w:r w:rsidRPr="00F62E2A">
        <w:rPr>
          <w:b/>
        </w:rPr>
        <w:t>Preferred Sites</w:t>
      </w:r>
      <w:r>
        <w:t xml:space="preserve"> in this settlement. </w:t>
      </w:r>
    </w:p>
    <w:p w:rsidR="00042FEC" w:rsidRPr="00776515" w:rsidRDefault="00042FEC" w:rsidP="00042FEC">
      <w:pPr>
        <w:rPr>
          <w:b/>
          <w:sz w:val="24"/>
          <w:szCs w:val="24"/>
          <w:u w:val="single"/>
        </w:rPr>
      </w:pPr>
      <w:r w:rsidRPr="00776515">
        <w:rPr>
          <w:b/>
          <w:sz w:val="24"/>
          <w:szCs w:val="24"/>
          <w:u w:val="single"/>
        </w:rPr>
        <w:t xml:space="preserve">Narrative of Site Analysis </w:t>
      </w:r>
    </w:p>
    <w:p w:rsidR="00042FEC" w:rsidRDefault="00042FEC" w:rsidP="00042FEC">
      <w:pPr>
        <w:jc w:val="both"/>
      </w:pPr>
      <w:r>
        <w:t xml:space="preserve">Site BR016 has numerous positive aspects which have determined the site’s selection as a Preferred Site. The site is adjacent to the village centre and has good access and sight lines in both directions. The site also performs satisfactorily regarding the District level analysis.  This site also conforms </w:t>
      </w:r>
      <w:proofErr w:type="gramStart"/>
      <w:r>
        <w:t>with</w:t>
      </w:r>
      <w:proofErr w:type="gramEnd"/>
      <w:r>
        <w:t xml:space="preserve"> the choice of the draft Bradley Neighbourhood Plan.</w:t>
      </w:r>
    </w:p>
    <w:p w:rsidR="00042FEC" w:rsidRDefault="00042FEC" w:rsidP="00042FEC">
      <w:pPr>
        <w:jc w:val="both"/>
      </w:pPr>
      <w:r>
        <w:t xml:space="preserve">Considering the rising land to the north of the site and the current level of housing need in Bradley, the northern section of the submitted site is not needed.   </w:t>
      </w:r>
    </w:p>
    <w:p w:rsidR="00042FEC" w:rsidRDefault="000C257A" w:rsidP="00042FEC">
      <w:pPr>
        <w:rPr>
          <w:b/>
        </w:rPr>
      </w:pPr>
      <w:r>
        <w:rPr>
          <w:b/>
          <w:i/>
        </w:rPr>
        <w:t>Approximate</w:t>
      </w:r>
      <w:r w:rsidR="00042FEC" w:rsidRPr="007C4CD1">
        <w:rPr>
          <w:b/>
          <w:i/>
        </w:rPr>
        <w:t xml:space="preserve"> Area:</w:t>
      </w:r>
      <w:r w:rsidR="00042FEC">
        <w:rPr>
          <w:b/>
        </w:rPr>
        <w:t xml:space="preserve"> </w:t>
      </w:r>
      <w:r>
        <w:t>0.8</w:t>
      </w:r>
      <w:r w:rsidR="00042FEC">
        <w:t xml:space="preserve"> hectares (southern part</w:t>
      </w:r>
      <w:r w:rsidR="00042FEC" w:rsidRPr="00834C80">
        <w:t xml:space="preserve"> of available SHLAA site)</w:t>
      </w:r>
      <w:r w:rsidR="00042FEC">
        <w:t>.</w:t>
      </w:r>
    </w:p>
    <w:p w:rsidR="00042FEC" w:rsidRPr="001D1E04" w:rsidRDefault="000C257A" w:rsidP="00042FEC">
      <w:pPr>
        <w:rPr>
          <w:b/>
        </w:rPr>
      </w:pPr>
      <w:r>
        <w:rPr>
          <w:b/>
          <w:i/>
        </w:rPr>
        <w:t xml:space="preserve">Approximate </w:t>
      </w:r>
      <w:r w:rsidR="00042FEC" w:rsidRPr="001D1E04">
        <w:rPr>
          <w:b/>
          <w:i/>
        </w:rPr>
        <w:t>Number of Dwellings:</w:t>
      </w:r>
      <w:r w:rsidR="00042FEC" w:rsidRPr="001D1E04">
        <w:rPr>
          <w:b/>
        </w:rPr>
        <w:t xml:space="preserve"> </w:t>
      </w:r>
      <w:r w:rsidR="00042FEC" w:rsidRPr="001D1E04">
        <w:t xml:space="preserve">25 dwellings </w:t>
      </w:r>
    </w:p>
    <w:p w:rsidR="00042FEC" w:rsidRDefault="00042FEC" w:rsidP="00042FEC">
      <w:pPr>
        <w:rPr>
          <w:b/>
          <w:i/>
        </w:rPr>
      </w:pPr>
      <w:r w:rsidRPr="001D1E04">
        <w:rPr>
          <w:b/>
          <w:i/>
        </w:rPr>
        <w:t xml:space="preserve">Development Principles: </w:t>
      </w:r>
    </w:p>
    <w:p w:rsidR="00054C60" w:rsidRPr="00054C60" w:rsidRDefault="00054C60" w:rsidP="00054C60">
      <w:pPr>
        <w:numPr>
          <w:ilvl w:val="0"/>
          <w:numId w:val="11"/>
        </w:numPr>
        <w:contextualSpacing/>
        <w:rPr>
          <w:rFonts w:cstheme="minorHAnsi"/>
        </w:rPr>
      </w:pPr>
      <w:r w:rsidRPr="00054C60">
        <w:rPr>
          <w:rFonts w:cstheme="minorHAnsi"/>
        </w:rPr>
        <w:t>Siting and design of development on the site to conserve the setting of the Bradley Conservation Area</w:t>
      </w:r>
      <w:r>
        <w:rPr>
          <w:rFonts w:cstheme="minorHAnsi"/>
        </w:rPr>
        <w:t>;</w:t>
      </w:r>
    </w:p>
    <w:p w:rsidR="00054C60" w:rsidRPr="00054C60" w:rsidRDefault="00054C60" w:rsidP="00054C60">
      <w:pPr>
        <w:ind w:left="425"/>
        <w:contextualSpacing/>
        <w:rPr>
          <w:rFonts w:cstheme="minorHAnsi"/>
        </w:rPr>
      </w:pPr>
    </w:p>
    <w:p w:rsidR="00054C60" w:rsidRPr="00054C60" w:rsidRDefault="00054C60" w:rsidP="00054C60">
      <w:pPr>
        <w:numPr>
          <w:ilvl w:val="0"/>
          <w:numId w:val="11"/>
        </w:numPr>
        <w:contextualSpacing/>
        <w:rPr>
          <w:rFonts w:eastAsia="Calibri" w:cstheme="minorHAnsi"/>
          <w:color w:val="000000"/>
        </w:rPr>
      </w:pPr>
      <w:r w:rsidRPr="00054C60">
        <w:rPr>
          <w:rFonts w:eastAsia="Calibri" w:cstheme="minorHAnsi"/>
          <w:color w:val="000000"/>
        </w:rPr>
        <w:t>The site is in a prominent location. Development proposals should be carefully and sensitively designed to minimise visual impact on the character and appearance of the area, and include measures to minimise impacts on air quality, noise and light pollution</w:t>
      </w:r>
      <w:r>
        <w:rPr>
          <w:rFonts w:eastAsia="Calibri" w:cstheme="minorHAnsi"/>
          <w:color w:val="000000"/>
        </w:rPr>
        <w:t>;</w:t>
      </w:r>
    </w:p>
    <w:p w:rsidR="00054C60" w:rsidRPr="00054C60" w:rsidRDefault="00054C60" w:rsidP="00054C60">
      <w:pPr>
        <w:rPr>
          <w:rFonts w:eastAsia="Calibri" w:cstheme="minorHAnsi"/>
          <w:color w:val="000000"/>
        </w:rPr>
      </w:pPr>
    </w:p>
    <w:p w:rsidR="00054C60" w:rsidRPr="00054C60" w:rsidRDefault="00054C60" w:rsidP="00054C60">
      <w:pPr>
        <w:numPr>
          <w:ilvl w:val="0"/>
          <w:numId w:val="11"/>
        </w:numPr>
        <w:contextualSpacing/>
        <w:rPr>
          <w:rFonts w:eastAsia="Calibri" w:cstheme="minorHAnsi"/>
        </w:rPr>
      </w:pPr>
      <w:r w:rsidRPr="00054C60">
        <w:rPr>
          <w:rFonts w:eastAsia="Calibri" w:cstheme="minorHAnsi"/>
        </w:rPr>
        <w:t>An assessment of the site’s archaeological interest will be required with appropriate mitigation incorporated into development proposals where necessary</w:t>
      </w:r>
      <w:r>
        <w:rPr>
          <w:rFonts w:eastAsia="Calibri" w:cstheme="minorHAnsi"/>
        </w:rPr>
        <w:t>;</w:t>
      </w:r>
    </w:p>
    <w:p w:rsidR="00054C60" w:rsidRPr="00054C60" w:rsidRDefault="00054C60" w:rsidP="00054C60">
      <w:pPr>
        <w:rPr>
          <w:rFonts w:eastAsia="Calibri" w:cstheme="minorHAnsi"/>
        </w:rPr>
      </w:pPr>
    </w:p>
    <w:p w:rsidR="00054C60" w:rsidRPr="00054C60" w:rsidRDefault="00054C60" w:rsidP="00054C60">
      <w:pPr>
        <w:numPr>
          <w:ilvl w:val="0"/>
          <w:numId w:val="11"/>
        </w:numPr>
        <w:contextualSpacing/>
        <w:rPr>
          <w:rFonts w:eastAsia="Calibri" w:cstheme="minorHAnsi"/>
          <w:color w:val="000000"/>
        </w:rPr>
      </w:pPr>
      <w:r w:rsidRPr="00054C60">
        <w:rPr>
          <w:rFonts w:cstheme="minorHAnsi"/>
        </w:rPr>
        <w:lastRenderedPageBreak/>
        <w:t>The existing dry stone boundary walls will be retained. New dry stone boundary walls will be created along the northern and western boundaries of the site to help establish a definitiv</w:t>
      </w:r>
      <w:r>
        <w:rPr>
          <w:rFonts w:cstheme="minorHAnsi"/>
        </w:rPr>
        <w:t>e new urban edge to the village;</w:t>
      </w:r>
    </w:p>
    <w:p w:rsidR="00054C60" w:rsidRPr="00054C60" w:rsidRDefault="00054C60" w:rsidP="00054C60">
      <w:pPr>
        <w:rPr>
          <w:rFonts w:eastAsia="Calibri" w:cstheme="minorHAnsi"/>
          <w:color w:val="000000"/>
        </w:rPr>
      </w:pPr>
    </w:p>
    <w:p w:rsidR="00054C60" w:rsidRPr="00054C60" w:rsidRDefault="00054C60" w:rsidP="00054C60">
      <w:pPr>
        <w:numPr>
          <w:ilvl w:val="0"/>
          <w:numId w:val="11"/>
        </w:numPr>
        <w:spacing w:before="120" w:after="120"/>
        <w:contextualSpacing/>
        <w:rPr>
          <w:rFonts w:eastAsia="Calibri" w:cstheme="minorHAnsi"/>
          <w:color w:val="000000"/>
        </w:rPr>
      </w:pPr>
      <w:r w:rsidRPr="00054C60">
        <w:rPr>
          <w:rFonts w:eastAsia="Calibri" w:cstheme="minorHAnsi"/>
          <w:color w:val="000000"/>
        </w:rPr>
        <w:t>Access to the site is</w:t>
      </w:r>
      <w:r>
        <w:rPr>
          <w:rFonts w:eastAsia="Calibri" w:cstheme="minorHAnsi"/>
          <w:color w:val="000000"/>
        </w:rPr>
        <w:t xml:space="preserve"> to be gained from Skipton Road;</w:t>
      </w:r>
      <w:bookmarkStart w:id="0" w:name="_GoBack"/>
      <w:bookmarkEnd w:id="0"/>
    </w:p>
    <w:p w:rsidR="00054C60" w:rsidRPr="00054C60" w:rsidRDefault="00054C60" w:rsidP="00054C60">
      <w:pPr>
        <w:spacing w:before="120" w:after="120"/>
        <w:rPr>
          <w:rFonts w:eastAsia="Calibri" w:cstheme="minorHAnsi"/>
          <w:color w:val="000000"/>
        </w:rPr>
      </w:pPr>
    </w:p>
    <w:p w:rsidR="00054C60" w:rsidRPr="00054C60" w:rsidRDefault="00054C60" w:rsidP="00054C60">
      <w:pPr>
        <w:pStyle w:val="ListParagraph"/>
        <w:numPr>
          <w:ilvl w:val="0"/>
          <w:numId w:val="11"/>
        </w:numPr>
        <w:rPr>
          <w:rFonts w:cstheme="minorHAnsi"/>
        </w:rPr>
      </w:pPr>
      <w:r w:rsidRPr="00054C60">
        <w:rPr>
          <w:rFonts w:cstheme="minorHAnsi"/>
          <w:color w:val="000000" w:themeColor="text1"/>
        </w:rPr>
        <w:t xml:space="preserve">Development proposals for this site must accord with </w:t>
      </w:r>
      <w:r w:rsidRPr="00054C60">
        <w:rPr>
          <w:rFonts w:cstheme="minorHAnsi"/>
          <w:bCs/>
          <w:color w:val="000000" w:themeColor="text1"/>
        </w:rPr>
        <w:t>local plan policies H2, INF3 and INF6 (which set out requirements for contributions towards affordable housing, education provision and sport, open space and recreation facilities) and all other</w:t>
      </w:r>
      <w:r w:rsidRPr="00054C60">
        <w:rPr>
          <w:rFonts w:cstheme="minorHAnsi"/>
          <w:color w:val="000000" w:themeColor="text1"/>
        </w:rPr>
        <w:t xml:space="preserve"> relevant local plan policies.</w:t>
      </w:r>
    </w:p>
    <w:sectPr w:rsidR="00054C60" w:rsidRPr="00054C60" w:rsidSect="00FC3903">
      <w:footerReference w:type="default" r:id="rId10"/>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909" w:rsidRDefault="00B83909" w:rsidP="00FC3903">
      <w:pPr>
        <w:spacing w:after="0" w:line="240" w:lineRule="auto"/>
      </w:pPr>
      <w:r>
        <w:separator/>
      </w:r>
    </w:p>
  </w:endnote>
  <w:endnote w:type="continuationSeparator" w:id="0">
    <w:p w:rsidR="00B83909" w:rsidRDefault="00B83909"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054C60">
          <w:rPr>
            <w:noProof/>
          </w:rPr>
          <w:t>4</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909" w:rsidRDefault="00B83909" w:rsidP="00FC3903">
      <w:pPr>
        <w:spacing w:after="0" w:line="240" w:lineRule="auto"/>
      </w:pPr>
      <w:r>
        <w:separator/>
      </w:r>
    </w:p>
  </w:footnote>
  <w:footnote w:type="continuationSeparator" w:id="0">
    <w:p w:rsidR="00B83909" w:rsidRDefault="00B83909"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EF7E8E"/>
    <w:multiLevelType w:val="hybridMultilevel"/>
    <w:tmpl w:val="C79E7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EA279A7"/>
    <w:multiLevelType w:val="hybridMultilevel"/>
    <w:tmpl w:val="9ACAA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EB013D3"/>
    <w:multiLevelType w:val="hybridMultilevel"/>
    <w:tmpl w:val="5D38A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7"/>
  </w:num>
  <w:num w:numId="6">
    <w:abstractNumId w:val="3"/>
  </w:num>
  <w:num w:numId="7">
    <w:abstractNumId w:val="6"/>
  </w:num>
  <w:num w:numId="8">
    <w:abstractNumId w:val="2"/>
  </w:num>
  <w:num w:numId="9">
    <w:abstractNumId w:val="1"/>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42FEC"/>
    <w:rsid w:val="00054C60"/>
    <w:rsid w:val="000C257A"/>
    <w:rsid w:val="000D020A"/>
    <w:rsid w:val="001B7854"/>
    <w:rsid w:val="001C1B08"/>
    <w:rsid w:val="001D1E04"/>
    <w:rsid w:val="00251B39"/>
    <w:rsid w:val="002C0460"/>
    <w:rsid w:val="00373551"/>
    <w:rsid w:val="00465A69"/>
    <w:rsid w:val="004E3847"/>
    <w:rsid w:val="0053055B"/>
    <w:rsid w:val="0053462A"/>
    <w:rsid w:val="00566240"/>
    <w:rsid w:val="00592381"/>
    <w:rsid w:val="005C0D42"/>
    <w:rsid w:val="006D64A8"/>
    <w:rsid w:val="00776515"/>
    <w:rsid w:val="007C4CD1"/>
    <w:rsid w:val="008264EE"/>
    <w:rsid w:val="00834C80"/>
    <w:rsid w:val="008A6867"/>
    <w:rsid w:val="00B11693"/>
    <w:rsid w:val="00B83909"/>
    <w:rsid w:val="00C1109B"/>
    <w:rsid w:val="00CD432F"/>
    <w:rsid w:val="00D645A4"/>
    <w:rsid w:val="00D924C4"/>
    <w:rsid w:val="00E22A10"/>
    <w:rsid w:val="00E67360"/>
    <w:rsid w:val="00F2287F"/>
    <w:rsid w:val="00F62E2A"/>
    <w:rsid w:val="00F85A1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57489">
      <w:bodyDiv w:val="1"/>
      <w:marLeft w:val="0"/>
      <w:marRight w:val="0"/>
      <w:marTop w:val="0"/>
      <w:marBottom w:val="0"/>
      <w:divBdr>
        <w:top w:val="none" w:sz="0" w:space="0" w:color="auto"/>
        <w:left w:val="none" w:sz="0" w:space="0" w:color="auto"/>
        <w:bottom w:val="none" w:sz="0" w:space="0" w:color="auto"/>
        <w:right w:val="none" w:sz="0" w:space="0" w:color="auto"/>
      </w:divBdr>
    </w:div>
    <w:div w:id="193345434">
      <w:bodyDiv w:val="1"/>
      <w:marLeft w:val="0"/>
      <w:marRight w:val="0"/>
      <w:marTop w:val="0"/>
      <w:marBottom w:val="0"/>
      <w:divBdr>
        <w:top w:val="none" w:sz="0" w:space="0" w:color="auto"/>
        <w:left w:val="none" w:sz="0" w:space="0" w:color="auto"/>
        <w:bottom w:val="none" w:sz="0" w:space="0" w:color="auto"/>
        <w:right w:val="none" w:sz="0" w:space="0" w:color="auto"/>
      </w:divBdr>
    </w:div>
    <w:div w:id="95999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5B244-7275-4814-BB13-498E287FC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748</Words>
  <Characters>4268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19</cp:revision>
  <cp:lastPrinted>2017-11-16T15:00:00Z</cp:lastPrinted>
  <dcterms:created xsi:type="dcterms:W3CDTF">2017-02-21T07:58:00Z</dcterms:created>
  <dcterms:modified xsi:type="dcterms:W3CDTF">2019-11-11T11:03:00Z</dcterms:modified>
</cp:coreProperties>
</file>